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97385A">
        <w:rPr>
          <w:sz w:val="28"/>
          <w:szCs w:val="28"/>
        </w:rPr>
        <w:t>Pinsel</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97385A" w:rsidTr="0097385A">
        <w:tc>
          <w:tcPr>
            <w:tcW w:w="2466" w:type="dxa"/>
            <w:vAlign w:val="center"/>
          </w:tcPr>
          <w:p w:rsidR="0097385A" w:rsidRPr="00DE6A25" w:rsidRDefault="0097385A" w:rsidP="008A099B">
            <w:pPr>
              <w:pStyle w:val="IQB-Merkmal"/>
            </w:pPr>
            <w:r w:rsidRPr="00DE6A25">
              <w:t>Leitidee</w:t>
            </w:r>
          </w:p>
        </w:tc>
        <w:tc>
          <w:tcPr>
            <w:tcW w:w="6604" w:type="dxa"/>
          </w:tcPr>
          <w:p w:rsidR="0097385A" w:rsidRPr="00DE6A25" w:rsidRDefault="0097385A" w:rsidP="008A099B">
            <w:pPr>
              <w:pStyle w:val="IQB-Merkmalswert"/>
              <w:rPr>
                <w:sz w:val="22"/>
                <w:szCs w:val="22"/>
              </w:rPr>
            </w:pPr>
            <w:r w:rsidRPr="00DE6A25">
              <w:rPr>
                <w:sz w:val="22"/>
                <w:szCs w:val="22"/>
              </w:rPr>
              <w:t>Funktionaler Zusammenhang (L4)</w:t>
            </w:r>
          </w:p>
        </w:tc>
      </w:tr>
      <w:tr w:rsidR="0097385A" w:rsidTr="0097385A">
        <w:tc>
          <w:tcPr>
            <w:tcW w:w="2466" w:type="dxa"/>
            <w:vAlign w:val="center"/>
          </w:tcPr>
          <w:p w:rsidR="0097385A" w:rsidRPr="00DE6A25" w:rsidRDefault="0097385A" w:rsidP="008A099B">
            <w:pPr>
              <w:pStyle w:val="IQB-Merkmal"/>
            </w:pPr>
            <w:r w:rsidRPr="00DE6A25">
              <w:t>Allgemeine Kompetenzen</w:t>
            </w:r>
          </w:p>
        </w:tc>
        <w:tc>
          <w:tcPr>
            <w:tcW w:w="6604" w:type="dxa"/>
          </w:tcPr>
          <w:p w:rsidR="0097385A" w:rsidRPr="00DE6A25" w:rsidRDefault="0097385A" w:rsidP="008A099B">
            <w:pPr>
              <w:pStyle w:val="IQB-Merkmalswert"/>
              <w:rPr>
                <w:sz w:val="22"/>
                <w:szCs w:val="22"/>
              </w:rPr>
            </w:pPr>
            <w:r w:rsidRPr="00DE6A25">
              <w:rPr>
                <w:sz w:val="22"/>
                <w:szCs w:val="22"/>
              </w:rPr>
              <w:t>Mit symbolischen, formalen und technischen Elementen der Mathematik umg</w:t>
            </w:r>
            <w:r w:rsidRPr="00DE6A25">
              <w:rPr>
                <w:sz w:val="22"/>
                <w:szCs w:val="22"/>
              </w:rPr>
              <w:t>e</w:t>
            </w:r>
            <w:r w:rsidRPr="00DE6A25">
              <w:rPr>
                <w:sz w:val="22"/>
                <w:szCs w:val="22"/>
              </w:rPr>
              <w:t>hen (K5)</w:t>
            </w:r>
          </w:p>
        </w:tc>
      </w:tr>
      <w:tr w:rsidR="0097385A" w:rsidTr="0097385A">
        <w:tc>
          <w:tcPr>
            <w:tcW w:w="2466" w:type="dxa"/>
            <w:vAlign w:val="center"/>
          </w:tcPr>
          <w:p w:rsidR="0097385A" w:rsidRPr="00DE6A25" w:rsidRDefault="0097385A" w:rsidP="008A099B">
            <w:pPr>
              <w:pStyle w:val="IQB-Merkmal"/>
            </w:pPr>
            <w:r w:rsidRPr="00DE6A25">
              <w:t>Anforderungsbereich</w:t>
            </w:r>
          </w:p>
        </w:tc>
        <w:tc>
          <w:tcPr>
            <w:tcW w:w="6604" w:type="dxa"/>
          </w:tcPr>
          <w:p w:rsidR="0097385A" w:rsidRPr="00DE6A25" w:rsidRDefault="0097385A" w:rsidP="008A099B">
            <w:pPr>
              <w:pStyle w:val="IQB-Merkmalswert"/>
              <w:rPr>
                <w:sz w:val="22"/>
                <w:szCs w:val="22"/>
              </w:rPr>
            </w:pPr>
            <w:r w:rsidRPr="00DE6A25">
              <w:rPr>
                <w:sz w:val="22"/>
                <w:szCs w:val="22"/>
              </w:rPr>
              <w:t>II</w:t>
            </w:r>
          </w:p>
        </w:tc>
      </w:tr>
      <w:tr w:rsidR="0097385A" w:rsidTr="0097385A">
        <w:tc>
          <w:tcPr>
            <w:tcW w:w="2466" w:type="dxa"/>
            <w:vAlign w:val="center"/>
          </w:tcPr>
          <w:p w:rsidR="0097385A" w:rsidRPr="00DE6A25" w:rsidRDefault="0097385A" w:rsidP="008A099B">
            <w:pPr>
              <w:pStyle w:val="IQB-Merkmal"/>
            </w:pPr>
            <w:r w:rsidRPr="00DE6A25">
              <w:t>Kompetenzstufe</w:t>
            </w:r>
          </w:p>
        </w:tc>
        <w:tc>
          <w:tcPr>
            <w:tcW w:w="6604" w:type="dxa"/>
          </w:tcPr>
          <w:p w:rsidR="0097385A" w:rsidRPr="00DE6A25" w:rsidRDefault="0097385A" w:rsidP="008A099B">
            <w:pPr>
              <w:pStyle w:val="IQB-Merkmalswert"/>
              <w:rPr>
                <w:sz w:val="22"/>
                <w:szCs w:val="22"/>
              </w:rPr>
            </w:pPr>
            <w:r w:rsidRPr="00DE6A25">
              <w:rPr>
                <w:sz w:val="22"/>
                <w:szCs w:val="22"/>
              </w:rPr>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97385A" w:rsidTr="0097385A">
        <w:tc>
          <w:tcPr>
            <w:tcW w:w="2466" w:type="dxa"/>
            <w:vAlign w:val="center"/>
          </w:tcPr>
          <w:p w:rsidR="0097385A" w:rsidRPr="00DE6A25" w:rsidRDefault="0097385A" w:rsidP="008A099B">
            <w:pPr>
              <w:pStyle w:val="IQB-Merkmal"/>
            </w:pPr>
            <w:r w:rsidRPr="00DE6A25">
              <w:t>Leitidee</w:t>
            </w:r>
          </w:p>
        </w:tc>
        <w:tc>
          <w:tcPr>
            <w:tcW w:w="6604" w:type="dxa"/>
          </w:tcPr>
          <w:p w:rsidR="0097385A" w:rsidRPr="00DE6A25" w:rsidRDefault="0097385A" w:rsidP="008A099B">
            <w:pPr>
              <w:pStyle w:val="IQB-Merkmalswert"/>
              <w:rPr>
                <w:sz w:val="22"/>
                <w:szCs w:val="22"/>
              </w:rPr>
            </w:pPr>
            <w:r w:rsidRPr="00DE6A25">
              <w:rPr>
                <w:sz w:val="22"/>
                <w:szCs w:val="22"/>
              </w:rPr>
              <w:t>Funktionaler Zusammenhang (L4)</w:t>
            </w:r>
          </w:p>
        </w:tc>
      </w:tr>
      <w:tr w:rsidR="0097385A" w:rsidTr="0097385A">
        <w:tc>
          <w:tcPr>
            <w:tcW w:w="2466" w:type="dxa"/>
            <w:vAlign w:val="center"/>
          </w:tcPr>
          <w:p w:rsidR="0097385A" w:rsidRPr="00DE6A25" w:rsidRDefault="0097385A" w:rsidP="008A099B">
            <w:pPr>
              <w:pStyle w:val="IQB-Merkmal"/>
            </w:pPr>
            <w:r w:rsidRPr="00DE6A25">
              <w:t>Allgemeine Kompetenzen</w:t>
            </w:r>
          </w:p>
        </w:tc>
        <w:tc>
          <w:tcPr>
            <w:tcW w:w="6604" w:type="dxa"/>
          </w:tcPr>
          <w:p w:rsidR="0097385A" w:rsidRPr="00DE6A25" w:rsidRDefault="0097385A" w:rsidP="008A099B">
            <w:pPr>
              <w:pStyle w:val="IQB-Merkmalswert"/>
              <w:rPr>
                <w:sz w:val="22"/>
                <w:szCs w:val="22"/>
              </w:rPr>
            </w:pPr>
            <w:r w:rsidRPr="00DE6A25">
              <w:rPr>
                <w:sz w:val="22"/>
                <w:szCs w:val="22"/>
              </w:rPr>
              <w:t>Mit symbolischen, formalen und technischen Elementen der Mathematik umg</w:t>
            </w:r>
            <w:r w:rsidRPr="00DE6A25">
              <w:rPr>
                <w:sz w:val="22"/>
                <w:szCs w:val="22"/>
              </w:rPr>
              <w:t>e</w:t>
            </w:r>
            <w:r w:rsidRPr="00DE6A25">
              <w:rPr>
                <w:sz w:val="22"/>
                <w:szCs w:val="22"/>
              </w:rPr>
              <w:t>hen (K5)</w:t>
            </w:r>
          </w:p>
        </w:tc>
      </w:tr>
      <w:tr w:rsidR="0097385A" w:rsidTr="0097385A">
        <w:tc>
          <w:tcPr>
            <w:tcW w:w="2466" w:type="dxa"/>
            <w:vAlign w:val="center"/>
          </w:tcPr>
          <w:p w:rsidR="0097385A" w:rsidRPr="00DE6A25" w:rsidRDefault="0097385A" w:rsidP="008A099B">
            <w:pPr>
              <w:pStyle w:val="IQB-Merkmal"/>
            </w:pPr>
            <w:r w:rsidRPr="00DE6A25">
              <w:t>Anforderungsbereich</w:t>
            </w:r>
          </w:p>
        </w:tc>
        <w:tc>
          <w:tcPr>
            <w:tcW w:w="6604" w:type="dxa"/>
          </w:tcPr>
          <w:p w:rsidR="0097385A" w:rsidRPr="00DE6A25" w:rsidRDefault="0097385A" w:rsidP="008A099B">
            <w:pPr>
              <w:pStyle w:val="IQB-Merkmalswert"/>
              <w:rPr>
                <w:sz w:val="22"/>
                <w:szCs w:val="22"/>
              </w:rPr>
            </w:pPr>
            <w:r w:rsidRPr="00DE6A25">
              <w:rPr>
                <w:sz w:val="22"/>
                <w:szCs w:val="22"/>
              </w:rPr>
              <w:t>II</w:t>
            </w:r>
          </w:p>
        </w:tc>
      </w:tr>
      <w:tr w:rsidR="0097385A" w:rsidTr="0097385A">
        <w:tc>
          <w:tcPr>
            <w:tcW w:w="2466" w:type="dxa"/>
            <w:vAlign w:val="center"/>
          </w:tcPr>
          <w:p w:rsidR="0097385A" w:rsidRPr="00DE6A25" w:rsidRDefault="0097385A" w:rsidP="008A099B">
            <w:pPr>
              <w:pStyle w:val="IQB-Merkmal"/>
            </w:pPr>
            <w:r w:rsidRPr="00DE6A25">
              <w:t>Kompetenzstufe</w:t>
            </w:r>
          </w:p>
        </w:tc>
        <w:tc>
          <w:tcPr>
            <w:tcW w:w="6604" w:type="dxa"/>
          </w:tcPr>
          <w:p w:rsidR="0097385A" w:rsidRPr="00DE6A25" w:rsidRDefault="0097385A" w:rsidP="008A099B">
            <w:pPr>
              <w:pStyle w:val="IQB-Merkmalswert"/>
              <w:rPr>
                <w:sz w:val="22"/>
                <w:szCs w:val="22"/>
              </w:rPr>
            </w:pPr>
            <w:r w:rsidRPr="00DE6A25">
              <w:rPr>
                <w:sz w:val="22"/>
                <w:szCs w:val="22"/>
              </w:rPr>
              <w:t>2</w:t>
            </w:r>
          </w:p>
        </w:tc>
      </w:tr>
    </w:tbl>
    <w:p w:rsidR="00694A63" w:rsidRPr="00694A63" w:rsidRDefault="00694A63" w:rsidP="00694A63">
      <w:pPr>
        <w:pStyle w:val="IQB-Teilaufgabentitel"/>
        <w:rPr>
          <w:b/>
        </w:rPr>
      </w:pPr>
      <w:r w:rsidRPr="00694A63">
        <w:rPr>
          <w:b/>
        </w:rPr>
        <w:t>Aufgabenbezogener Kommentar</w:t>
      </w:r>
    </w:p>
    <w:p w:rsidR="0097385A" w:rsidRPr="0097385A" w:rsidRDefault="0097385A" w:rsidP="0097385A">
      <w:pPr>
        <w:jc w:val="both"/>
        <w:rPr>
          <w:rFonts w:ascii="Arial" w:hAnsi="Arial"/>
          <w:sz w:val="22"/>
          <w:szCs w:val="22"/>
        </w:rPr>
      </w:pPr>
      <w:r w:rsidRPr="0097385A">
        <w:rPr>
          <w:rFonts w:ascii="Arial" w:hAnsi="Arial"/>
          <w:sz w:val="22"/>
          <w:szCs w:val="22"/>
        </w:rPr>
        <w:t xml:space="preserve">In der Aufgabe „Pinsel“ geht es um die maßstäbliche Darstellung eines Gegenstandes. Hier ordnet der Maßstab jeder Länge in der Wirklichkeit genau eine Länge in der Abbildung zu und umgekehrt. Daher gehört diese Aufgabe zur Leitidee </w:t>
      </w:r>
      <w:r w:rsidRPr="0097385A">
        <w:rPr>
          <w:rFonts w:ascii="Arial" w:hAnsi="Arial"/>
          <w:i/>
          <w:sz w:val="22"/>
          <w:szCs w:val="22"/>
        </w:rPr>
        <w:t>funktionaler Zusammenhang</w:t>
      </w:r>
      <w:r w:rsidRPr="0097385A">
        <w:rPr>
          <w:rFonts w:ascii="Arial" w:hAnsi="Arial"/>
          <w:sz w:val="22"/>
          <w:szCs w:val="22"/>
        </w:rPr>
        <w:t> (L4).</w:t>
      </w:r>
    </w:p>
    <w:p w:rsidR="0097385A" w:rsidRPr="0097385A" w:rsidRDefault="0097385A" w:rsidP="0097385A">
      <w:pPr>
        <w:jc w:val="both"/>
        <w:rPr>
          <w:rFonts w:ascii="Arial" w:hAnsi="Arial"/>
          <w:sz w:val="22"/>
          <w:szCs w:val="22"/>
        </w:rPr>
      </w:pPr>
    </w:p>
    <w:p w:rsidR="0097385A" w:rsidRPr="0097385A" w:rsidRDefault="0097385A" w:rsidP="0097385A">
      <w:pPr>
        <w:jc w:val="both"/>
        <w:rPr>
          <w:rFonts w:ascii="Arial" w:hAnsi="Arial"/>
          <w:sz w:val="22"/>
          <w:szCs w:val="22"/>
        </w:rPr>
      </w:pPr>
      <w:r w:rsidRPr="0097385A">
        <w:rPr>
          <w:rFonts w:ascii="Arial" w:hAnsi="Arial"/>
          <w:sz w:val="22"/>
          <w:szCs w:val="22"/>
        </w:rPr>
        <w:t xml:space="preserve">Zur Umrechnung von Längen mithilfe eines Maßstabs arbeiten Schülerinnen und Schüler mit einem Term bzw. einer Gleichung. Daher wird in beiden Teilaufgaben die Kompetenz </w:t>
      </w:r>
      <w:r w:rsidRPr="0097385A">
        <w:rPr>
          <w:rFonts w:ascii="Arial" w:hAnsi="Arial"/>
          <w:i/>
          <w:sz w:val="22"/>
          <w:szCs w:val="22"/>
        </w:rPr>
        <w:t>Mit symbolischen, formalen und technischen Elementen der Mathematik umgehen</w:t>
      </w:r>
      <w:r w:rsidRPr="0097385A">
        <w:rPr>
          <w:rFonts w:ascii="Arial" w:hAnsi="Arial"/>
          <w:sz w:val="22"/>
          <w:szCs w:val="22"/>
        </w:rPr>
        <w:t> (K5) gefordert.</w:t>
      </w:r>
    </w:p>
    <w:p w:rsidR="0097385A" w:rsidRPr="0097385A" w:rsidRDefault="0097385A" w:rsidP="0097385A">
      <w:pPr>
        <w:jc w:val="both"/>
        <w:rPr>
          <w:rFonts w:ascii="Arial" w:hAnsi="Arial"/>
          <w:sz w:val="22"/>
          <w:szCs w:val="22"/>
        </w:rPr>
      </w:pPr>
    </w:p>
    <w:p w:rsidR="0097385A" w:rsidRPr="0097385A" w:rsidRDefault="0097385A" w:rsidP="0097385A">
      <w:pPr>
        <w:jc w:val="both"/>
        <w:rPr>
          <w:rFonts w:ascii="Arial" w:hAnsi="Arial"/>
          <w:sz w:val="22"/>
          <w:szCs w:val="22"/>
        </w:rPr>
      </w:pPr>
      <w:r w:rsidRPr="0097385A">
        <w:rPr>
          <w:rFonts w:ascii="Arial" w:hAnsi="Arial"/>
          <w:sz w:val="22"/>
          <w:szCs w:val="22"/>
        </w:rPr>
        <w:t>Wenn Schülerinnen und Schüler mit Variablen, Termen, Gleichungen oder Funktionen arbeiten wird eine Aufgabe dem Anforderungsbereich II zugeordnet. So auch hier.</w:t>
      </w:r>
    </w:p>
    <w:p w:rsidR="00694A63" w:rsidRPr="00694A63" w:rsidRDefault="00694A63" w:rsidP="00694A63">
      <w:pPr>
        <w:pStyle w:val="IQB-Teilaufgabentitel"/>
        <w:rPr>
          <w:b/>
        </w:rPr>
      </w:pPr>
      <w:r w:rsidRPr="00694A63">
        <w:rPr>
          <w:b/>
        </w:rPr>
        <w:t>Anregungen für den Unterricht</w:t>
      </w:r>
    </w:p>
    <w:p w:rsidR="0097385A" w:rsidRPr="0097385A" w:rsidRDefault="0097385A" w:rsidP="0097385A">
      <w:pPr>
        <w:spacing w:line="240" w:lineRule="atLeast"/>
        <w:jc w:val="both"/>
        <w:rPr>
          <w:rFonts w:ascii="Arial" w:hAnsi="Arial"/>
          <w:sz w:val="22"/>
          <w:szCs w:val="22"/>
        </w:rPr>
      </w:pPr>
      <w:r w:rsidRPr="0097385A">
        <w:rPr>
          <w:rFonts w:ascii="Arial" w:hAnsi="Arial"/>
          <w:sz w:val="22"/>
          <w:szCs w:val="22"/>
        </w:rPr>
        <w:t xml:space="preserve">Das Arbeiten mit einem Maßstab begegnet Schülerinnen und Schülern an den verschiedenen Stellen im Mathematikunterricht. Die bekanntesten Beispiele sind vermutlich maßstabsgetreue Zeichnungen im Geometrieunterricht oder Maßstäbe, die auf Landkarten verwendet werden. Aber auch im Unterricht zu Funktionen können Maßstäbe eine Rolle spielen. Längenumrechnungen mittels eines Maßstabs können als proportionale Zuordnungen gedacht werden. Schülerinnen und Schülern kann dieser Zusammenhang verdeutlicht werden, indem die übliche Maßstabsdarstellung </w:t>
      </w:r>
      <w:r w:rsidRPr="0097385A">
        <w:rPr>
          <w:rFonts w:ascii="Arial" w:hAnsi="Arial"/>
          <w:position w:val="-4"/>
          <w:sz w:val="22"/>
          <w:szCs w:val="22"/>
        </w:rPr>
        <w:object w:dxaOrig="4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20.65pt;height:12.1pt" o:ole="">
            <v:imagedata r:id="rId8" o:title=""/>
          </v:shape>
          <o:OLEObject Type="Embed" ProgID="Equation.DSMT4" ShapeID="_x0000_i1047" DrawAspect="Content" ObjectID="_1814853867" r:id="rId9"/>
        </w:object>
      </w:r>
      <w:r w:rsidRPr="0097385A">
        <w:rPr>
          <w:rFonts w:ascii="Arial" w:hAnsi="Arial"/>
          <w:sz w:val="22"/>
          <w:szCs w:val="22"/>
        </w:rPr>
        <w:t xml:space="preserve"> bzw. </w:t>
      </w:r>
      <w:r w:rsidRPr="0097385A">
        <w:rPr>
          <w:rFonts w:ascii="Arial" w:hAnsi="Arial"/>
          <w:position w:val="-4"/>
          <w:sz w:val="22"/>
          <w:szCs w:val="22"/>
        </w:rPr>
        <w:object w:dxaOrig="420" w:dyaOrig="240">
          <v:shape id="_x0000_i1048" type="#_x0000_t75" style="width:20.65pt;height:12.1pt" o:ole="">
            <v:imagedata r:id="rId10" o:title=""/>
          </v:shape>
          <o:OLEObject Type="Embed" ProgID="Equation.DSMT4" ShapeID="_x0000_i1048" DrawAspect="Content" ObjectID="_1814853868" r:id="rId11"/>
        </w:object>
      </w:r>
      <w:r w:rsidRPr="0097385A">
        <w:rPr>
          <w:rFonts w:ascii="Arial" w:hAnsi="Arial"/>
          <w:sz w:val="22"/>
          <w:szCs w:val="22"/>
        </w:rPr>
        <w:t xml:space="preserve"> in eine Funktionsgleichung überführt und eine Wertetabelle oder ein Graph zur Funktion erstellt wird. Insbesondere können Schülerinnen und Schüler mit Maßstäben im Zusammenhang mit Funktionen konfrontiert werden, indem man unterschiedliche Einteilungen der x- und der y-Achse im Koordinatensystem als maßstäbliches Verhältnis begreift. So wird beispielsweise in der dynamischen Mathematiksoftware GeoGebra die Einteilung der Achsen mithilfe eines Maßstabs vorgenommen.</w:t>
      </w:r>
    </w:p>
    <w:p w:rsidR="0097385A" w:rsidRPr="0097385A" w:rsidRDefault="0097385A" w:rsidP="0097385A">
      <w:pPr>
        <w:spacing w:line="240" w:lineRule="atLeast"/>
        <w:jc w:val="both"/>
        <w:rPr>
          <w:rFonts w:ascii="Arial" w:hAnsi="Arial"/>
          <w:sz w:val="22"/>
          <w:szCs w:val="22"/>
        </w:rPr>
      </w:pPr>
    </w:p>
    <w:p w:rsidR="0097385A" w:rsidRPr="0097385A" w:rsidRDefault="0097385A" w:rsidP="0097385A">
      <w:pPr>
        <w:spacing w:line="240" w:lineRule="atLeast"/>
        <w:jc w:val="both"/>
        <w:rPr>
          <w:rFonts w:ascii="Arial" w:hAnsi="Arial"/>
          <w:sz w:val="22"/>
          <w:szCs w:val="22"/>
        </w:rPr>
      </w:pPr>
      <w:r w:rsidRPr="0097385A">
        <w:rPr>
          <w:rFonts w:ascii="Arial" w:hAnsi="Arial"/>
          <w:sz w:val="22"/>
          <w:szCs w:val="22"/>
        </w:rPr>
        <w:t xml:space="preserve">Im Geometrieunterricht spielen Maßstäbe eine Rolle, wenn man über den Kongruenzbegriff hinaus von Ähnlichkeiten zwischen Figuren sprechen möchte. Der Begriff der Ähnlichkeit ist umfassender als der der Kongruenz; zu den Kongruenzabbildungen (Drehung, Spiegelung und Verschiebung) treten noch die zentrische Streckung und deren Verkettungen mit den Kongruenzabbildungen hinzu. Im Geometrieunterricht sind Schülerinnen und Schüler mit maßstabsgetreuen wie nicht-maßstabsgetreuen Zeichnungen konfrontiert. Die Kompetenz </w:t>
      </w:r>
      <w:r w:rsidRPr="0097385A">
        <w:rPr>
          <w:rFonts w:ascii="Arial" w:hAnsi="Arial"/>
          <w:i/>
          <w:sz w:val="22"/>
          <w:szCs w:val="22"/>
        </w:rPr>
        <w:t>Mathematische Darstellung verwenden</w:t>
      </w:r>
      <w:r w:rsidRPr="0097385A">
        <w:rPr>
          <w:rFonts w:ascii="Arial" w:hAnsi="Arial"/>
          <w:sz w:val="22"/>
          <w:szCs w:val="22"/>
        </w:rPr>
        <w:t xml:space="preserve"> (K4) besteht hier darin, mit beiden Darstellungsarten adäquat umzugehen. Rechnungen, Begründungen usw., die sich auf eine nicht-maßstabsgetreue Zeichnung beziehen, lassen es in der Regel nicht zu, mithilfe eines Maßstabs fehlende Längen zu ermitteln. Hier muss meist über Sätze der Geometrie und bekannte Formeln gearbeitet werden. Maßstabsgetreue Zeichnungen lassen hingegen Messungen mit Lineal oder Geodreieck zu, die dann gegebenenfalls mithilfe des Maßstabs </w:t>
      </w:r>
      <w:r w:rsidRPr="0097385A">
        <w:rPr>
          <w:rFonts w:ascii="Arial" w:hAnsi="Arial"/>
          <w:sz w:val="22"/>
          <w:szCs w:val="22"/>
        </w:rPr>
        <w:lastRenderedPageBreak/>
        <w:t xml:space="preserve">umgerechnet werden müssen. Auch wenn in beiden Fällen sehr unterschiedliche Tätigkeiten mit einer Darstellung verbunden sind (Umgang mit Formeln vs. Messen mit Lineal oder Geodreieck), gehören sie doch zur selben Kompetenz </w:t>
      </w:r>
      <w:r w:rsidRPr="0097385A">
        <w:rPr>
          <w:rFonts w:ascii="Arial" w:hAnsi="Arial"/>
          <w:i/>
          <w:sz w:val="22"/>
          <w:szCs w:val="22"/>
        </w:rPr>
        <w:t>Mit symbolischen, formalen und technischen Elementen der Mathematik umgehen</w:t>
      </w:r>
      <w:r w:rsidRPr="0097385A">
        <w:rPr>
          <w:rFonts w:ascii="Arial" w:hAnsi="Arial"/>
          <w:sz w:val="22"/>
          <w:szCs w:val="22"/>
        </w:rPr>
        <w:t> (K5).</w:t>
      </w:r>
    </w:p>
    <w:p w:rsidR="0097385A" w:rsidRPr="0097385A" w:rsidRDefault="0097385A" w:rsidP="0097385A">
      <w:pPr>
        <w:jc w:val="both"/>
        <w:rPr>
          <w:rFonts w:ascii="Arial" w:hAnsi="Arial"/>
          <w:sz w:val="22"/>
          <w:szCs w:val="22"/>
        </w:rPr>
      </w:pPr>
    </w:p>
    <w:p w:rsidR="0097385A" w:rsidRPr="0097385A" w:rsidRDefault="0097385A" w:rsidP="0097385A">
      <w:pPr>
        <w:jc w:val="both"/>
        <w:rPr>
          <w:rFonts w:ascii="Arial" w:hAnsi="Arial"/>
          <w:sz w:val="22"/>
          <w:szCs w:val="22"/>
        </w:rPr>
      </w:pPr>
      <w:r w:rsidRPr="0097385A">
        <w:rPr>
          <w:rFonts w:ascii="Arial" w:hAnsi="Arial"/>
          <w:sz w:val="22"/>
          <w:szCs w:val="22"/>
        </w:rPr>
        <w:t xml:space="preserve">Werden Maßstäbe vorrangig unter geometrischen Gesichtspunkten behandelt und weniger hinsichtlich eines funktionalen Zusammenhangs, so können Maßstäbe als mathematischer Inhalt auch der Leitidee </w:t>
      </w:r>
      <w:r w:rsidRPr="0097385A">
        <w:rPr>
          <w:rFonts w:ascii="Arial" w:hAnsi="Arial"/>
          <w:i/>
          <w:sz w:val="22"/>
          <w:szCs w:val="22"/>
        </w:rPr>
        <w:t>Messen</w:t>
      </w:r>
      <w:r w:rsidRPr="0097385A">
        <w:rPr>
          <w:rFonts w:ascii="Arial" w:hAnsi="Arial"/>
          <w:sz w:val="22"/>
          <w:szCs w:val="22"/>
        </w:rPr>
        <w:t xml:space="preserve"> (L2) zugeordnet werden. Insbesondere kann Schülerinnen und Schülern verdeutlicht werden, dass auch die Umrechnung zwischen verschiedenen Größen bzw. Maßeinheiten dem Rechnen mit Maßstäben gleichkommt. Dass ein mathematischer Inhalt verschiedenen Leitideen zugeordnet werden kann, ist nicht ungewöhnlich oder gar ausgeschlossen. Leitideen sind nicht an einem axiomatischen Aufbau mathematischer Gebiete ausgerichtet, sondern an Phänomenen mathematischer Praxis. Sie beschreiben, was jemand tut, wenn er Mathematik betreibt. Steht bei einer Aufgabe das Messen im Vordergrund, kann sie zur Leitidee </w:t>
      </w:r>
      <w:r w:rsidRPr="0097385A">
        <w:rPr>
          <w:rFonts w:ascii="Arial" w:hAnsi="Arial"/>
          <w:i/>
          <w:sz w:val="22"/>
          <w:szCs w:val="22"/>
        </w:rPr>
        <w:t>Messen</w:t>
      </w:r>
      <w:r w:rsidRPr="0097385A">
        <w:rPr>
          <w:rFonts w:ascii="Arial" w:hAnsi="Arial"/>
          <w:sz w:val="22"/>
          <w:szCs w:val="22"/>
        </w:rPr>
        <w:t xml:space="preserve"> (L2) gezählt werden, auch wenn funktionale Gesichtspunkte dabei eine Rolle spielen. Ein bekanntes Beispiel, mit dem der an Phänomenen orientierte Ansatz zur Einteilung fachlicher Inhalte der Mathematik verdeutlicht werden kann, ist die Kombinatorik. Wird im Unterricht Kombinatorik meist im Zusammenhang mit Überlegungen zur Wahrscheinlichkeitsrechnung thematisiert, wird sie den mathematischen Leitideen zufolge zusammen mit arithmetischen Inhalten der Leitidee </w:t>
      </w:r>
      <w:r w:rsidRPr="0097385A">
        <w:rPr>
          <w:rFonts w:ascii="Arial" w:hAnsi="Arial"/>
          <w:i/>
          <w:sz w:val="22"/>
          <w:szCs w:val="22"/>
        </w:rPr>
        <w:t>Zahl</w:t>
      </w:r>
      <w:r w:rsidRPr="0097385A">
        <w:rPr>
          <w:rFonts w:ascii="Arial" w:hAnsi="Arial"/>
          <w:sz w:val="22"/>
          <w:szCs w:val="22"/>
        </w:rPr>
        <w:t> (L1) zugeordnet. Wenn man Kombinatorik betreibt, geht es letztlich um einen Zählvorgang. So betrachtet steht die Kombinatorik mathematischen Inhalten wie der Bruchrechnung, dem Umgang mit Zahlenmengen, Rundungen und Überschlägen näher als der Bestimmung von Wahrscheinlichkeiten. Soweit zu den Leitideen.</w:t>
      </w:r>
    </w:p>
    <w:p w:rsidR="0097385A" w:rsidRPr="0097385A" w:rsidRDefault="0097385A" w:rsidP="0097385A">
      <w:pPr>
        <w:jc w:val="both"/>
        <w:rPr>
          <w:rFonts w:ascii="Arial" w:hAnsi="Arial"/>
          <w:sz w:val="22"/>
          <w:szCs w:val="22"/>
        </w:rPr>
      </w:pPr>
    </w:p>
    <w:p w:rsidR="0097385A" w:rsidRPr="0097385A" w:rsidRDefault="0097385A" w:rsidP="0097385A">
      <w:pPr>
        <w:jc w:val="both"/>
        <w:rPr>
          <w:rFonts w:ascii="Arial" w:hAnsi="Arial"/>
          <w:sz w:val="22"/>
          <w:szCs w:val="22"/>
        </w:rPr>
      </w:pPr>
      <w:r w:rsidRPr="0097385A">
        <w:rPr>
          <w:rFonts w:ascii="Arial" w:hAnsi="Arial"/>
          <w:sz w:val="22"/>
          <w:szCs w:val="22"/>
        </w:rPr>
        <w:t xml:space="preserve">Betrachtet man bei einer Aufgabe zu Maßstäben eher die beteiligten Prozesskompetenzen, so kann nicht nur die Kompetenz </w:t>
      </w:r>
      <w:r w:rsidRPr="0097385A">
        <w:rPr>
          <w:rFonts w:ascii="Arial" w:hAnsi="Arial"/>
          <w:i/>
          <w:sz w:val="22"/>
          <w:szCs w:val="22"/>
        </w:rPr>
        <w:t>Mit symbolischen, formalen und technischen Elementen der Mathematik umgehen</w:t>
      </w:r>
      <w:r w:rsidRPr="0097385A">
        <w:rPr>
          <w:rFonts w:ascii="Arial" w:hAnsi="Arial"/>
          <w:sz w:val="22"/>
          <w:szCs w:val="22"/>
        </w:rPr>
        <w:t xml:space="preserve"> (K5) adressiert werden, wie es in der Aufgabe „Pinsel“ der Fall ist. Weiter oben wurde bereits die Kompetenz </w:t>
      </w:r>
      <w:r w:rsidRPr="0097385A">
        <w:rPr>
          <w:rFonts w:ascii="Arial" w:hAnsi="Arial"/>
          <w:i/>
          <w:sz w:val="22"/>
          <w:szCs w:val="22"/>
        </w:rPr>
        <w:t>Mathematische Darstellungen verwenden</w:t>
      </w:r>
      <w:r w:rsidRPr="0097385A">
        <w:rPr>
          <w:rFonts w:ascii="Arial" w:hAnsi="Arial"/>
          <w:sz w:val="22"/>
          <w:szCs w:val="22"/>
        </w:rPr>
        <w:t> (K4) angeführt. Das Arbeiten mit einem Maßstab tritt jedoch auch klassischerweise bei der Lösung in der Kompetenz</w:t>
      </w:r>
      <w:r w:rsidRPr="0097385A">
        <w:rPr>
          <w:rFonts w:ascii="Arial" w:hAnsi="Arial"/>
          <w:sz w:val="18"/>
        </w:rPr>
        <w:t xml:space="preserve"> </w:t>
      </w:r>
      <w:r w:rsidRPr="0097385A">
        <w:rPr>
          <w:rFonts w:ascii="Arial" w:hAnsi="Arial"/>
          <w:i/>
          <w:sz w:val="22"/>
          <w:szCs w:val="22"/>
        </w:rPr>
        <w:t>Mathematisch modellieren</w:t>
      </w:r>
      <w:r w:rsidRPr="0097385A">
        <w:rPr>
          <w:rFonts w:ascii="Arial" w:hAnsi="Arial"/>
          <w:sz w:val="22"/>
          <w:szCs w:val="22"/>
        </w:rPr>
        <w:t> (K3) mit geometrischen Aspekten auf. Meist muss in einer nicht-mathematischen Darstellung (z. B. einem Foto) eine Vergleichsgröße herangezogen werden, mit der eine weitere Größe ermittelt werden soll. Die folgende Beispielaufgabe „Nashorn“ aus Vera8 2016 soll dies verdeutlichen.</w:t>
      </w:r>
    </w:p>
    <w:p w:rsidR="0097385A" w:rsidRPr="0097385A" w:rsidRDefault="0097385A" w:rsidP="0097385A">
      <w:pPr>
        <w:jc w:val="both"/>
        <w:rPr>
          <w:rFonts w:ascii="Arial" w:hAnsi="Arial"/>
          <w:sz w:val="28"/>
          <w:szCs w:val="28"/>
        </w:rPr>
      </w:pPr>
    </w:p>
    <w:p w:rsidR="0097385A" w:rsidRPr="0097385A" w:rsidRDefault="0097385A" w:rsidP="0097385A">
      <w:pPr>
        <w:jc w:val="both"/>
        <w:rPr>
          <w:rFonts w:ascii="Arial" w:hAnsi="Arial"/>
          <w:b/>
          <w:sz w:val="22"/>
          <w:szCs w:val="22"/>
        </w:rPr>
      </w:pPr>
      <w:r w:rsidRPr="0097385A">
        <w:rPr>
          <w:rFonts w:ascii="Arial" w:hAnsi="Arial"/>
          <w:b/>
          <w:sz w:val="22"/>
          <w:szCs w:val="22"/>
        </w:rPr>
        <w:t>Beispielaufgabe „Nashorn“</w:t>
      </w:r>
    </w:p>
    <w:p w:rsidR="0097385A" w:rsidRPr="0097385A" w:rsidRDefault="0097385A" w:rsidP="0097385A">
      <w:pPr>
        <w:jc w:val="both"/>
        <w:rPr>
          <w:rFonts w:ascii="Arial" w:hAnsi="Arial"/>
          <w:noProof/>
          <w:sz w:val="18"/>
        </w:rPr>
      </w:pPr>
      <w:r w:rsidRPr="0097385A">
        <w:rPr>
          <w:rFonts w:ascii="Arial" w:hAnsi="Arial"/>
          <w:noProof/>
          <w:sz w:val="18"/>
        </w:rPr>
        <w:drawing>
          <wp:inline distT="0" distB="0" distL="0" distR="0">
            <wp:extent cx="4318635" cy="24079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18635" cy="2407920"/>
                    </a:xfrm>
                    <a:prstGeom prst="rect">
                      <a:avLst/>
                    </a:prstGeom>
                    <a:noFill/>
                    <a:ln>
                      <a:noFill/>
                    </a:ln>
                  </pic:spPr>
                </pic:pic>
              </a:graphicData>
            </a:graphic>
          </wp:inline>
        </w:drawing>
      </w:r>
    </w:p>
    <w:p w:rsidR="0097385A" w:rsidRPr="0097385A" w:rsidRDefault="0097385A" w:rsidP="0097385A">
      <w:pPr>
        <w:jc w:val="both"/>
        <w:rPr>
          <w:rFonts w:ascii="Arial" w:hAnsi="Arial"/>
          <w:noProof/>
          <w:sz w:val="18"/>
        </w:rPr>
      </w:pPr>
    </w:p>
    <w:p w:rsidR="0097385A" w:rsidRPr="0097385A" w:rsidRDefault="0097385A" w:rsidP="0097385A">
      <w:pPr>
        <w:jc w:val="both"/>
        <w:rPr>
          <w:rFonts w:ascii="Arial" w:hAnsi="Arial"/>
          <w:noProof/>
          <w:sz w:val="18"/>
        </w:rPr>
      </w:pPr>
      <w:r w:rsidRPr="0097385A">
        <w:rPr>
          <w:rFonts w:ascii="Arial" w:hAnsi="Arial"/>
          <w:noProof/>
          <w:sz w:val="18"/>
        </w:rPr>
        <w:lastRenderedPageBreak/>
        <w:drawing>
          <wp:inline distT="0" distB="0" distL="0" distR="0">
            <wp:extent cx="4318635" cy="2779395"/>
            <wp:effectExtent l="0" t="0" r="5715"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8635" cy="2779395"/>
                    </a:xfrm>
                    <a:prstGeom prst="rect">
                      <a:avLst/>
                    </a:prstGeom>
                    <a:noFill/>
                    <a:ln>
                      <a:noFill/>
                    </a:ln>
                  </pic:spPr>
                </pic:pic>
              </a:graphicData>
            </a:graphic>
          </wp:inline>
        </w:drawing>
      </w:r>
    </w:p>
    <w:p w:rsidR="00694A63" w:rsidRPr="005B2F65" w:rsidRDefault="00694A63" w:rsidP="0097385A">
      <w:pPr>
        <w:jc w:val="both"/>
        <w:rPr>
          <w:sz w:val="22"/>
          <w:szCs w:val="22"/>
        </w:rPr>
      </w:pPr>
      <w:bookmarkStart w:id="0" w:name="_GoBack"/>
      <w:bookmarkEnd w:id="0"/>
    </w:p>
    <w:sectPr w:rsidR="00694A63" w:rsidRPr="005B2F65" w:rsidSect="00DB65DC">
      <w:headerReference w:type="even" r:id="rId14"/>
      <w:headerReference w:type="default" r:id="rId15"/>
      <w:footerReference w:type="even" r:id="rId16"/>
      <w:footerReference w:type="default" r:id="rId17"/>
      <w:headerReference w:type="first" r:id="rId18"/>
      <w:footerReference w:type="first" r:id="rId19"/>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E8C4A855-7729-4590-93BF-127F051BBA8B}"/>
    <w:embedBold r:id="rId2" w:fontKey="{68533C26-B3BD-43BB-B083-EAD8CEB8E21B}"/>
    <w:embedItalic r:id="rId3" w:fontKey="{E9C5A17F-F170-482C-855B-6C778CCBDA60}"/>
    <w:embedBoldItalic r:id="rId4" w:fontKey="{12A90198-527A-468B-A0A2-56DD25EBD248}"/>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D708B"/>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7385A"/>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14:docId w14:val="257E7B00"/>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emf"/><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w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4B96C2-1DD5-407B-A967-007EE8DA6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742</Words>
  <Characters>5235</Characters>
  <Application>Microsoft Office Word</Application>
  <DocSecurity>0</DocSecurity>
  <Lines>93</Lines>
  <Paragraphs>32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2025-07-24T07:18:00Z</dcterms:created>
  <dcterms:modified xsi:type="dcterms:W3CDTF">2025-07-24T07:18:00Z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